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As a shaliach within BBYO, my vision is to see our movement thrive as a dynamic force for Jewish teen empowerment and community impact. Inspired by the values of B'nai B'rith Youth Organization, I am committed to cultivating a vibrant, inclusive, and pluralistic environment where every Jewish teen feels valued and empowered to lead. Through innovative programming, meaningful connections, and a steadfast commitment to Jewish values, I aim to create transformative experiences that inspire our members to embrace their Jewish identity, develop leadership skills, and make a positive difference in the world.</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Within GMR, I will work to expand our impact through locally tailored initiatives such as community programs and an increase of service projects, as well as incorporating important Jewish experiences and cultural celebrations. By creating  stronger partnerships with local organizations, synagogues, and educational institutions, I will create opportunities for teens to engage meaningfully with their communities and address pressing social issues such as antisemitism.</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Through our chapter-based activities, regional conventions, and leadership training workshops, I will provide teens with opportunities to explore their passions, form lasting friendships, and deepen their connection to their Jewish roots on a regional scale. By fostering a culture of leadership development, inclusivity, and social responsibility within our region, I will empower our members to become confident, compassionate leaders who positively impact their communities and the world around them.</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